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398" w:rsidRPr="00E22398" w:rsidRDefault="00E22398" w:rsidP="00E22398">
      <w:pPr>
        <w:spacing w:line="400" w:lineRule="exact"/>
        <w:jc w:val="left"/>
        <w:rPr>
          <w:rFonts w:ascii="仿宋" w:eastAsia="仿宋" w:hAnsi="仿宋"/>
          <w:sz w:val="26"/>
          <w:szCs w:val="26"/>
        </w:rPr>
      </w:pPr>
      <w:r w:rsidRPr="00E22398">
        <w:rPr>
          <w:rFonts w:ascii="仿宋" w:eastAsia="仿宋" w:hAnsi="仿宋"/>
          <w:sz w:val="26"/>
          <w:szCs w:val="26"/>
        </w:rPr>
        <w:t>附件</w:t>
      </w:r>
      <w:r w:rsidRPr="00E22398">
        <w:rPr>
          <w:rFonts w:ascii="仿宋" w:eastAsia="仿宋" w:hAnsi="仿宋" w:hint="eastAsia"/>
          <w:sz w:val="26"/>
          <w:szCs w:val="26"/>
        </w:rPr>
        <w:t>：</w:t>
      </w:r>
    </w:p>
    <w:p w:rsidR="00267BFA" w:rsidRDefault="00E91886" w:rsidP="00267BFA">
      <w:pPr>
        <w:jc w:val="center"/>
        <w:rPr>
          <w:rFonts w:ascii="黑体" w:eastAsia="黑体" w:hAnsi="黑体"/>
          <w:sz w:val="32"/>
          <w:szCs w:val="32"/>
        </w:rPr>
      </w:pPr>
      <w:r w:rsidRPr="00E91886">
        <w:rPr>
          <w:rFonts w:ascii="黑体" w:eastAsia="黑体" w:hAnsi="黑体" w:hint="eastAsia"/>
          <w:sz w:val="32"/>
          <w:szCs w:val="32"/>
        </w:rPr>
        <w:t>201</w:t>
      </w:r>
      <w:r w:rsidR="006D4657">
        <w:rPr>
          <w:rFonts w:ascii="黑体" w:eastAsia="黑体" w:hAnsi="黑体"/>
          <w:sz w:val="32"/>
          <w:szCs w:val="32"/>
        </w:rPr>
        <w:t>9</w:t>
      </w:r>
      <w:r w:rsidRPr="00E91886">
        <w:rPr>
          <w:rFonts w:ascii="黑体" w:eastAsia="黑体" w:hAnsi="黑体" w:hint="eastAsia"/>
          <w:sz w:val="32"/>
          <w:szCs w:val="32"/>
        </w:rPr>
        <w:t>年度</w:t>
      </w:r>
      <w:r w:rsidR="00267BFA">
        <w:rPr>
          <w:rFonts w:ascii="黑体" w:eastAsia="黑体" w:hAnsi="黑体" w:hint="eastAsia"/>
          <w:sz w:val="32"/>
          <w:szCs w:val="32"/>
        </w:rPr>
        <w:t>研究生</w:t>
      </w:r>
      <w:r w:rsidRPr="00E91886">
        <w:rPr>
          <w:rFonts w:ascii="黑体" w:eastAsia="黑体" w:hAnsi="黑体" w:hint="eastAsia"/>
          <w:sz w:val="32"/>
          <w:szCs w:val="32"/>
        </w:rPr>
        <w:t>自主创新研究基金优秀博士学位论文</w:t>
      </w:r>
    </w:p>
    <w:p w:rsidR="00AD21B7" w:rsidRPr="00667A9F" w:rsidRDefault="00E91886" w:rsidP="00E22398">
      <w:pPr>
        <w:spacing w:afterLines="50" w:after="156"/>
        <w:jc w:val="center"/>
        <w:rPr>
          <w:rFonts w:ascii="黑体" w:eastAsia="黑体" w:hAnsi="黑体"/>
          <w:sz w:val="32"/>
          <w:szCs w:val="32"/>
        </w:rPr>
      </w:pPr>
      <w:r w:rsidRPr="00E91886">
        <w:rPr>
          <w:rFonts w:ascii="黑体" w:eastAsia="黑体" w:hAnsi="黑体" w:hint="eastAsia"/>
          <w:sz w:val="32"/>
          <w:szCs w:val="32"/>
        </w:rPr>
        <w:t>培育项目拟立项资助名单</w:t>
      </w:r>
    </w:p>
    <w:tbl>
      <w:tblPr>
        <w:tblW w:w="57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216"/>
        <w:gridCol w:w="4444"/>
        <w:gridCol w:w="1180"/>
        <w:gridCol w:w="1176"/>
      </w:tblGrid>
      <w:tr w:rsidR="001D09AF" w:rsidRPr="001D09AF" w:rsidTr="00A94E5B">
        <w:trPr>
          <w:trHeight w:val="640"/>
          <w:tblHeader/>
          <w:jc w:val="center"/>
        </w:trPr>
        <w:tc>
          <w:tcPr>
            <w:tcW w:w="293" w:type="pct"/>
            <w:shd w:val="clear" w:color="auto" w:fill="auto"/>
            <w:vAlign w:val="center"/>
            <w:hideMark/>
          </w:tcPr>
          <w:p w:rsidR="006526FA" w:rsidRPr="001D09AF" w:rsidRDefault="006526FA" w:rsidP="006D4657">
            <w:pPr>
              <w:widowControl/>
              <w:snapToGrid w:val="0"/>
              <w:spacing w:line="320" w:lineRule="exact"/>
              <w:contextualSpacing/>
              <w:jc w:val="center"/>
              <w:rPr>
                <w:rFonts w:ascii="仿宋" w:eastAsia="仿宋" w:hAnsi="仿宋" w:cs="宋体"/>
                <w:b/>
                <w:bCs/>
                <w:color w:val="000000"/>
                <w:kern w:val="0"/>
                <w:sz w:val="26"/>
                <w:szCs w:val="26"/>
              </w:rPr>
            </w:pPr>
            <w:r w:rsidRPr="001D09AF">
              <w:rPr>
                <w:rFonts w:ascii="仿宋" w:eastAsia="仿宋" w:hAnsi="仿宋" w:cs="宋体" w:hint="eastAsia"/>
                <w:b/>
                <w:bCs/>
                <w:color w:val="000000"/>
                <w:kern w:val="0"/>
                <w:sz w:val="26"/>
                <w:szCs w:val="26"/>
              </w:rPr>
              <w:t>序号</w:t>
            </w:r>
          </w:p>
        </w:tc>
        <w:tc>
          <w:tcPr>
            <w:tcW w:w="1157" w:type="pct"/>
            <w:shd w:val="clear" w:color="auto" w:fill="auto"/>
            <w:vAlign w:val="center"/>
            <w:hideMark/>
          </w:tcPr>
          <w:p w:rsidR="006526FA" w:rsidRPr="001D09AF" w:rsidRDefault="006526FA" w:rsidP="006D4657">
            <w:pPr>
              <w:widowControl/>
              <w:snapToGrid w:val="0"/>
              <w:spacing w:line="320" w:lineRule="exact"/>
              <w:contextualSpacing/>
              <w:jc w:val="center"/>
              <w:rPr>
                <w:rFonts w:ascii="仿宋" w:eastAsia="仿宋" w:hAnsi="仿宋" w:cs="宋体"/>
                <w:b/>
                <w:bCs/>
                <w:color w:val="000000"/>
                <w:kern w:val="0"/>
                <w:sz w:val="26"/>
                <w:szCs w:val="26"/>
              </w:rPr>
            </w:pPr>
            <w:r w:rsidRPr="001D09AF">
              <w:rPr>
                <w:rFonts w:ascii="仿宋" w:eastAsia="仿宋" w:hAnsi="仿宋" w:cs="宋体" w:hint="eastAsia"/>
                <w:b/>
                <w:bCs/>
                <w:color w:val="000000"/>
                <w:kern w:val="0"/>
                <w:sz w:val="26"/>
                <w:szCs w:val="26"/>
              </w:rPr>
              <w:t>所属学院</w:t>
            </w:r>
          </w:p>
        </w:tc>
        <w:tc>
          <w:tcPr>
            <w:tcW w:w="2320" w:type="pct"/>
            <w:shd w:val="clear" w:color="auto" w:fill="auto"/>
            <w:vAlign w:val="center"/>
            <w:hideMark/>
          </w:tcPr>
          <w:p w:rsidR="006526FA" w:rsidRPr="001D09AF" w:rsidRDefault="006526FA" w:rsidP="006D4657">
            <w:pPr>
              <w:widowControl/>
              <w:snapToGrid w:val="0"/>
              <w:spacing w:line="320" w:lineRule="exact"/>
              <w:contextualSpacing/>
              <w:jc w:val="center"/>
              <w:rPr>
                <w:rFonts w:ascii="仿宋" w:eastAsia="仿宋" w:hAnsi="仿宋" w:cs="宋体"/>
                <w:b/>
                <w:bCs/>
                <w:color w:val="000000"/>
                <w:kern w:val="0"/>
                <w:sz w:val="26"/>
                <w:szCs w:val="26"/>
              </w:rPr>
            </w:pPr>
            <w:r w:rsidRPr="001D09AF">
              <w:rPr>
                <w:rFonts w:ascii="仿宋" w:eastAsia="仿宋" w:hAnsi="仿宋" w:cs="宋体" w:hint="eastAsia"/>
                <w:b/>
                <w:bCs/>
                <w:color w:val="000000"/>
                <w:kern w:val="0"/>
                <w:sz w:val="26"/>
                <w:szCs w:val="26"/>
              </w:rPr>
              <w:t>项目名称</w:t>
            </w:r>
          </w:p>
        </w:tc>
        <w:tc>
          <w:tcPr>
            <w:tcW w:w="616" w:type="pct"/>
            <w:shd w:val="clear" w:color="auto" w:fill="auto"/>
            <w:vAlign w:val="center"/>
            <w:hideMark/>
          </w:tcPr>
          <w:p w:rsidR="006526FA" w:rsidRPr="001D09AF" w:rsidRDefault="006526FA" w:rsidP="006D4657">
            <w:pPr>
              <w:widowControl/>
              <w:snapToGrid w:val="0"/>
              <w:spacing w:line="320" w:lineRule="exact"/>
              <w:contextualSpacing/>
              <w:jc w:val="center"/>
              <w:rPr>
                <w:rFonts w:ascii="仿宋" w:eastAsia="仿宋" w:hAnsi="仿宋" w:cs="宋体"/>
                <w:b/>
                <w:bCs/>
                <w:color w:val="000000"/>
                <w:kern w:val="0"/>
                <w:sz w:val="26"/>
                <w:szCs w:val="26"/>
              </w:rPr>
            </w:pPr>
            <w:r w:rsidRPr="001D09AF">
              <w:rPr>
                <w:rFonts w:ascii="仿宋" w:eastAsia="仿宋" w:hAnsi="仿宋" w:cs="宋体" w:hint="eastAsia"/>
                <w:b/>
                <w:bCs/>
                <w:color w:val="000000"/>
                <w:kern w:val="0"/>
                <w:sz w:val="26"/>
                <w:szCs w:val="26"/>
              </w:rPr>
              <w:t>申请人</w:t>
            </w:r>
          </w:p>
        </w:tc>
        <w:tc>
          <w:tcPr>
            <w:tcW w:w="614" w:type="pct"/>
          </w:tcPr>
          <w:p w:rsidR="001D09AF" w:rsidRDefault="006526FA" w:rsidP="006D4657">
            <w:pPr>
              <w:widowControl/>
              <w:snapToGrid w:val="0"/>
              <w:spacing w:line="320" w:lineRule="exact"/>
              <w:contextualSpacing/>
              <w:jc w:val="center"/>
              <w:rPr>
                <w:rFonts w:ascii="仿宋" w:eastAsia="仿宋" w:hAnsi="仿宋" w:cs="宋体"/>
                <w:b/>
                <w:bCs/>
                <w:color w:val="000000"/>
                <w:kern w:val="0"/>
                <w:sz w:val="26"/>
                <w:szCs w:val="26"/>
              </w:rPr>
            </w:pPr>
            <w:r w:rsidRPr="001D09AF">
              <w:rPr>
                <w:rFonts w:ascii="仿宋" w:eastAsia="仿宋" w:hAnsi="仿宋" w:cs="宋体" w:hint="eastAsia"/>
                <w:b/>
                <w:bCs/>
                <w:color w:val="000000"/>
                <w:kern w:val="0"/>
                <w:sz w:val="26"/>
                <w:szCs w:val="26"/>
              </w:rPr>
              <w:t>指导</w:t>
            </w:r>
          </w:p>
          <w:p w:rsidR="006526FA" w:rsidRPr="001D09AF" w:rsidRDefault="006526FA" w:rsidP="006D4657">
            <w:pPr>
              <w:widowControl/>
              <w:snapToGrid w:val="0"/>
              <w:spacing w:line="320" w:lineRule="exact"/>
              <w:contextualSpacing/>
              <w:jc w:val="center"/>
              <w:rPr>
                <w:rFonts w:ascii="仿宋" w:eastAsia="仿宋" w:hAnsi="仿宋" w:cs="宋体"/>
                <w:b/>
                <w:bCs/>
                <w:color w:val="000000"/>
                <w:kern w:val="0"/>
                <w:sz w:val="26"/>
                <w:szCs w:val="26"/>
              </w:rPr>
            </w:pPr>
            <w:r w:rsidRPr="001D09AF">
              <w:rPr>
                <w:rFonts w:ascii="仿宋" w:eastAsia="仿宋" w:hAnsi="仿宋" w:cs="宋体" w:hint="eastAsia"/>
                <w:b/>
                <w:bCs/>
                <w:color w:val="000000"/>
                <w:kern w:val="0"/>
                <w:sz w:val="26"/>
                <w:szCs w:val="26"/>
              </w:rPr>
              <w:t>教师</w:t>
            </w:r>
          </w:p>
        </w:tc>
      </w:tr>
      <w:tr w:rsidR="006D4657" w:rsidRPr="00DE6E46"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1</w:t>
            </w:r>
          </w:p>
        </w:tc>
        <w:tc>
          <w:tcPr>
            <w:tcW w:w="1157" w:type="pct"/>
            <w:shd w:val="clear" w:color="auto" w:fill="auto"/>
            <w:vAlign w:val="center"/>
          </w:tcPr>
          <w:p w:rsidR="006D4657" w:rsidRPr="006D4657" w:rsidRDefault="006D4657" w:rsidP="006D4657">
            <w:pPr>
              <w:snapToGrid w:val="0"/>
              <w:jc w:val="center"/>
              <w:rPr>
                <w:rFonts w:ascii="仿宋_GB2312" w:eastAsia="仿宋_GB2312" w:hAnsi="Times New Roman" w:cs="Times New Roman"/>
                <w:color w:val="000000"/>
                <w:sz w:val="26"/>
                <w:szCs w:val="26"/>
              </w:rPr>
            </w:pPr>
            <w:r w:rsidRPr="006D4657">
              <w:rPr>
                <w:rFonts w:ascii="仿宋_GB2312" w:eastAsia="仿宋_GB2312" w:cs="Times New Roman" w:hint="eastAsia"/>
                <w:color w:val="000000"/>
                <w:sz w:val="26"/>
                <w:szCs w:val="26"/>
              </w:rPr>
              <w:t>材料学院</w:t>
            </w:r>
          </w:p>
        </w:tc>
        <w:tc>
          <w:tcPr>
            <w:tcW w:w="2320" w:type="pct"/>
            <w:shd w:val="clear" w:color="auto" w:fill="auto"/>
            <w:vAlign w:val="center"/>
          </w:tcPr>
          <w:p w:rsidR="006D4657" w:rsidRPr="006D4657" w:rsidRDefault="006D4657" w:rsidP="006D4657">
            <w:pPr>
              <w:snapToGrid w:val="0"/>
              <w:jc w:val="center"/>
              <w:rPr>
                <w:rFonts w:ascii="仿宋_GB2312" w:eastAsia="仿宋_GB2312" w:hAnsi="Times New Roman" w:cs="Times New Roman"/>
                <w:color w:val="000000"/>
                <w:sz w:val="26"/>
                <w:szCs w:val="26"/>
              </w:rPr>
            </w:pPr>
            <w:r w:rsidRPr="006D4657">
              <w:rPr>
                <w:rFonts w:ascii="仿宋_GB2312" w:eastAsia="仿宋_GB2312" w:cs="Times New Roman" w:hint="eastAsia"/>
                <w:color w:val="000000"/>
                <w:sz w:val="26"/>
                <w:szCs w:val="26"/>
              </w:rPr>
              <w:t>硫酰氟介导的</w:t>
            </w:r>
            <w:r w:rsidRPr="006D4657">
              <w:rPr>
                <w:rFonts w:ascii="仿宋_GB2312" w:eastAsia="仿宋_GB2312" w:hAnsi="Times New Roman" w:cs="Times New Roman" w:hint="eastAsia"/>
                <w:color w:val="000000"/>
                <w:sz w:val="26"/>
                <w:szCs w:val="26"/>
              </w:rPr>
              <w:t>N-</w:t>
            </w:r>
            <w:r w:rsidRPr="006D4657">
              <w:rPr>
                <w:rFonts w:ascii="仿宋_GB2312" w:eastAsia="仿宋_GB2312" w:cs="Times New Roman" w:hint="eastAsia"/>
                <w:color w:val="000000"/>
                <w:sz w:val="26"/>
                <w:szCs w:val="26"/>
              </w:rPr>
              <w:t>取代羟胺反应活性研究</w:t>
            </w:r>
          </w:p>
        </w:tc>
        <w:tc>
          <w:tcPr>
            <w:tcW w:w="616" w:type="pct"/>
            <w:shd w:val="clear" w:color="auto" w:fill="auto"/>
            <w:vAlign w:val="center"/>
          </w:tcPr>
          <w:p w:rsidR="006D4657" w:rsidRPr="006D4657" w:rsidRDefault="006D4657" w:rsidP="006D4657">
            <w:pPr>
              <w:snapToGrid w:val="0"/>
              <w:jc w:val="center"/>
              <w:rPr>
                <w:rFonts w:ascii="仿宋_GB2312" w:eastAsia="仿宋_GB2312" w:hAnsi="Times New Roman" w:cs="Times New Roman"/>
                <w:color w:val="000000"/>
                <w:sz w:val="26"/>
                <w:szCs w:val="26"/>
              </w:rPr>
            </w:pPr>
            <w:r w:rsidRPr="006D4657">
              <w:rPr>
                <w:rFonts w:ascii="仿宋_GB2312" w:eastAsia="仿宋_GB2312" w:cs="Times New Roman" w:hint="eastAsia"/>
                <w:color w:val="000000"/>
                <w:sz w:val="26"/>
                <w:szCs w:val="26"/>
              </w:rPr>
              <w:t>方菀茵</w:t>
            </w:r>
          </w:p>
        </w:tc>
        <w:tc>
          <w:tcPr>
            <w:tcW w:w="614" w:type="pct"/>
            <w:vAlign w:val="center"/>
          </w:tcPr>
          <w:p w:rsidR="006D4657" w:rsidRPr="006D4657" w:rsidRDefault="006D4657" w:rsidP="006D4657">
            <w:pPr>
              <w:snapToGrid w:val="0"/>
              <w:jc w:val="center"/>
              <w:rPr>
                <w:rFonts w:ascii="仿宋_GB2312" w:eastAsia="仿宋_GB2312" w:hAnsi="Times New Roman" w:cs="Times New Roman"/>
                <w:color w:val="000000"/>
                <w:sz w:val="26"/>
                <w:szCs w:val="26"/>
              </w:rPr>
            </w:pPr>
            <w:r w:rsidRPr="006D4657">
              <w:rPr>
                <w:rFonts w:ascii="仿宋_GB2312" w:eastAsia="仿宋_GB2312" w:cs="Times New Roman" w:hint="eastAsia"/>
                <w:color w:val="000000"/>
                <w:sz w:val="26"/>
                <w:szCs w:val="26"/>
              </w:rPr>
              <w:t>秦华利</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2</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材料学院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烷基二芳基</w:t>
            </w:r>
            <w:r w:rsidRPr="006D4657">
              <w:rPr>
                <w:rFonts w:ascii="微软雅黑" w:eastAsia="微软雅黑" w:hAnsi="微软雅黑" w:cs="微软雅黑" w:hint="eastAsia"/>
                <w:color w:val="000000"/>
                <w:sz w:val="26"/>
                <w:szCs w:val="26"/>
              </w:rPr>
              <w:t>鋶</w:t>
            </w:r>
            <w:r w:rsidRPr="006D4657">
              <w:rPr>
                <w:rFonts w:ascii="仿宋_GB2312" w:eastAsia="仿宋_GB2312" w:hAnsi="仿宋_GB2312" w:cs="仿宋_GB2312" w:hint="eastAsia"/>
                <w:color w:val="000000"/>
                <w:sz w:val="26"/>
                <w:szCs w:val="26"/>
              </w:rPr>
              <w:t>盐参与的选择性</w:t>
            </w:r>
            <w:r w:rsidRPr="006D4657">
              <w:rPr>
                <w:rFonts w:ascii="仿宋_GB2312" w:eastAsia="仿宋_GB2312" w:hint="eastAsia"/>
                <w:color w:val="000000"/>
                <w:sz w:val="26"/>
                <w:szCs w:val="26"/>
              </w:rPr>
              <w:t>N-芳基化反应研究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田泽宇</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张成潘</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3</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材料学院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氧化钇稳定的氧化铪热障涂层的制备及性能研究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袁洁燕</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曹学强</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4</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材料学院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钙钛矿太阳能电池的低温制备和缺陷钝化</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王胖</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王涛</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5</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材料学院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微流控芯片用PZT/PVDF复合压电薄膜的制备与研究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张超</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朱泉</w:t>
            </w:r>
            <w:r w:rsidRPr="006D4657">
              <w:rPr>
                <w:rFonts w:ascii="微软雅黑" w:eastAsia="微软雅黑" w:hAnsi="微软雅黑" w:cs="微软雅黑" w:hint="eastAsia"/>
                <w:color w:val="000000"/>
                <w:sz w:val="26"/>
                <w:szCs w:val="26"/>
              </w:rPr>
              <w:t>峣</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6</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材料学院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超薄石墨相氮化碳及其复合材料的光催化性能研究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朱琳玉</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李宏</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7</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材料学院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层状硅酸电催化析氧机理及优化策略探究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朱杰鑫</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麦立强</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8</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材料学院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高性能微型储能器件的制备技术及电极调控机制研究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陈一鸣</w:t>
            </w:r>
          </w:p>
        </w:tc>
        <w:tc>
          <w:tcPr>
            <w:tcW w:w="614" w:type="pct"/>
            <w:vAlign w:val="center"/>
          </w:tcPr>
          <w:p w:rsid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徐林</w:t>
            </w:r>
          </w:p>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刘俊</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9</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材料学院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Pb(Mg1/3Nb2/3)O3-PbTiO3基陶瓷的制备与压电性能研究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郭庆虎</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张树君</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10</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材料学院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Nb,Zn共掺杂SrTiO3陶瓷缺陷设计及介电行为研究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潘文高</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曹明贺</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11</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材料学院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双频激发下Er3+,Dy3+:CaF2透明陶瓷的上转换发光性能的研究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阳宇</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梅炳初</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12</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材料学院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自支撑金属硫族化合物基电解水催化剂研究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王鹏彦</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木士春</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13</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交通学院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浮冰单次和反复碰撞下极地船舶结构塑性动力响应及安全性评估</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蔡伟</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朱凌</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14</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交通学院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交变载荷下船体结构低周疲劳裂纹扩展与承载力研究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宋月林</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杨平</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lastRenderedPageBreak/>
              <w:t>15</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交通学院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不同温度环境及应力水平时混凝土梁中GFRP筋蠕变研究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吴超</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何雄君</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16</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汽车学院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运载装备用高强薄壁高筋构件包络成形组织与力学性能研究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田端阳</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华林</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17</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汽车学院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氢燃料电池气体扩散层孔尺度力学分析及传输特性研究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肖柳胜</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隋邦</w:t>
            </w:r>
            <w:r w:rsidRPr="006D4657">
              <w:rPr>
                <w:rFonts w:ascii="微软雅黑" w:eastAsia="微软雅黑" w:hAnsi="微软雅黑" w:cs="微软雅黑" w:hint="eastAsia"/>
                <w:color w:val="000000"/>
                <w:sz w:val="26"/>
                <w:szCs w:val="26"/>
              </w:rPr>
              <w:t>傑</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18</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汽车学院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对冲火焰碳烟极限及粒径多种光学诊断技术比较研究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周梦祥</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颜伏伍</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19</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机电学院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基于过程变量解析建模的高温合金切削表面创成机理研究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翁剑</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丁汉</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20</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机电学院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Ni3Al基自润滑材料摩擦界面光栅微结构设计制备及摩擦学性能与减振降噪研究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卢冠辰</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史晓亮</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21</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机电学院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双丝杠进给系统非线性模态分析与主动抑振研究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段蒙</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卢红</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22</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能动学院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考虑船舶操纵性的智能船舶避碰决策方法</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谢朔</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初秀民</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23</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能动学院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基于深度学习的船舶柴油发电机微小故障智能诊断与预测方法研究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宫文峰</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陈辉</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24</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土建学院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MFC自感知自驱动一体化自适应控制系统</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张家瑞</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涂建维</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25</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资环学院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三维蒙脱石纳米片/银纳米线基复合相变储能材料组装机制与储能性能调控研究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易浩</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宋少先</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26</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资环学院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表面硫化诱导的缺陷富集铋基光催化剂的制备及其高选择性二氧化碳还原机制研究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王楷</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张高科</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27</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信息学院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新型多维光纤加速度传感器传感理论及关键技术研究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王慧</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梁磊</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28</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计算机学院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边缘计算环境下基于用户分布的服务器协同缓存与优化部署研究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白静盼</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李春林</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29</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自动化学院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面向5G城市车联网通信的无线信道测量与建模研究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李昌振</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陈伟</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lastRenderedPageBreak/>
              <w:t>30</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自动化学院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不确定绿色调度理论与多群体优化方法</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李明</w:t>
            </w:r>
            <w:bookmarkStart w:id="0" w:name="_GoBack"/>
            <w:bookmarkEnd w:id="0"/>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雷德明</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31</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航运学院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受限水域船舶交通自组织协同调度优化研究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辛旭日</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刘克中</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32</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理学院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冲击载荷下碳化硼微观变形机制与力学性能研究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李君</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刘立胜</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33</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物流学院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融合群智能和机器学习的多目标柔性作业车间调度</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贺利军</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李文锋</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34</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管理学院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绿色人力资源管理的内容结构及其作用机制研究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胡伟</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赵富强</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35</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经济学院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中国服务业能源效率问题研究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王许亮</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王恕立</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36</w:t>
            </w:r>
          </w:p>
        </w:tc>
        <w:tc>
          <w:tcPr>
            <w:tcW w:w="1157" w:type="pct"/>
            <w:shd w:val="clear" w:color="auto" w:fill="auto"/>
            <w:vAlign w:val="center"/>
          </w:tcPr>
          <w:p w:rsidR="006D4657" w:rsidRPr="006D4657" w:rsidRDefault="006D4657" w:rsidP="00A94E5B">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马克思主义学院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习近平关于中国共产党执政形象建设的重要论述研究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熊强</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郭国祥</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37</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安全应急学院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基于案例库的食品安全风险预警机制研究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余惠琴</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宋英华</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38</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安全应急学院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基于复杂系统的垃圾邻避危机识别与转化研究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何玲</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杨青</w:t>
            </w:r>
          </w:p>
        </w:tc>
      </w:tr>
      <w:tr w:rsidR="006D4657" w:rsidRPr="006D4657" w:rsidTr="00A94E5B">
        <w:trPr>
          <w:trHeight w:val="800"/>
          <w:jc w:val="center"/>
        </w:trPr>
        <w:tc>
          <w:tcPr>
            <w:tcW w:w="293" w:type="pct"/>
            <w:shd w:val="clear" w:color="auto" w:fill="auto"/>
            <w:noWrap/>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39</w:t>
            </w:r>
          </w:p>
        </w:tc>
        <w:tc>
          <w:tcPr>
            <w:tcW w:w="1157"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安全应急学院</w:t>
            </w:r>
          </w:p>
        </w:tc>
        <w:tc>
          <w:tcPr>
            <w:tcW w:w="2320"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有限空间内易燃易爆粉尘爆燃火焰传播行为及抑制特性研究</w:t>
            </w:r>
          </w:p>
        </w:tc>
        <w:tc>
          <w:tcPr>
            <w:tcW w:w="616" w:type="pct"/>
            <w:shd w:val="clear" w:color="auto" w:fill="auto"/>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黄楚原</w:t>
            </w:r>
          </w:p>
        </w:tc>
        <w:tc>
          <w:tcPr>
            <w:tcW w:w="614" w:type="pct"/>
            <w:vAlign w:val="center"/>
          </w:tcPr>
          <w:p w:rsidR="006D4657" w:rsidRPr="006D4657" w:rsidRDefault="006D4657" w:rsidP="006D4657">
            <w:pPr>
              <w:widowControl/>
              <w:snapToGrid w:val="0"/>
              <w:jc w:val="center"/>
              <w:rPr>
                <w:rFonts w:ascii="仿宋_GB2312" w:eastAsia="仿宋_GB2312"/>
                <w:color w:val="000000"/>
                <w:sz w:val="26"/>
                <w:szCs w:val="26"/>
              </w:rPr>
            </w:pPr>
            <w:r w:rsidRPr="006D4657">
              <w:rPr>
                <w:rFonts w:ascii="仿宋_GB2312" w:eastAsia="仿宋_GB2312" w:hint="eastAsia"/>
                <w:color w:val="000000"/>
                <w:sz w:val="26"/>
                <w:szCs w:val="26"/>
              </w:rPr>
              <w:t>陈先锋</w:t>
            </w:r>
          </w:p>
        </w:tc>
      </w:tr>
    </w:tbl>
    <w:p w:rsidR="00C304E9" w:rsidRDefault="00C304E9"/>
    <w:sectPr w:rsidR="00C304E9" w:rsidSect="00C304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793" w:rsidRDefault="00AE2793" w:rsidP="00267BFA">
      <w:r>
        <w:separator/>
      </w:r>
    </w:p>
  </w:endnote>
  <w:endnote w:type="continuationSeparator" w:id="0">
    <w:p w:rsidR="00AE2793" w:rsidRDefault="00AE2793" w:rsidP="0026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793" w:rsidRDefault="00AE2793" w:rsidP="00267BFA">
      <w:r>
        <w:separator/>
      </w:r>
    </w:p>
  </w:footnote>
  <w:footnote w:type="continuationSeparator" w:id="0">
    <w:p w:rsidR="00AE2793" w:rsidRDefault="00AE2793" w:rsidP="00267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772"/>
    <w:rsid w:val="001D09AF"/>
    <w:rsid w:val="00267BFA"/>
    <w:rsid w:val="002F76FF"/>
    <w:rsid w:val="00392886"/>
    <w:rsid w:val="003E0B20"/>
    <w:rsid w:val="006526FA"/>
    <w:rsid w:val="00667A9F"/>
    <w:rsid w:val="006D4657"/>
    <w:rsid w:val="007A3D24"/>
    <w:rsid w:val="00950874"/>
    <w:rsid w:val="00991D1D"/>
    <w:rsid w:val="00A92E78"/>
    <w:rsid w:val="00A94E5B"/>
    <w:rsid w:val="00AD21B7"/>
    <w:rsid w:val="00AE2793"/>
    <w:rsid w:val="00B81DFC"/>
    <w:rsid w:val="00BF4D1F"/>
    <w:rsid w:val="00C224BA"/>
    <w:rsid w:val="00C304E9"/>
    <w:rsid w:val="00D25074"/>
    <w:rsid w:val="00DE6E46"/>
    <w:rsid w:val="00E10772"/>
    <w:rsid w:val="00E22398"/>
    <w:rsid w:val="00E809EF"/>
    <w:rsid w:val="00E91886"/>
    <w:rsid w:val="00EC2F57"/>
    <w:rsid w:val="00F24B58"/>
    <w:rsid w:val="00F4738F"/>
    <w:rsid w:val="00F72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8CA786-4B26-45CF-A89E-BC540EC2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7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7BFA"/>
    <w:rPr>
      <w:sz w:val="18"/>
      <w:szCs w:val="18"/>
    </w:rPr>
  </w:style>
  <w:style w:type="paragraph" w:styleId="a4">
    <w:name w:val="footer"/>
    <w:basedOn w:val="a"/>
    <w:link w:val="Char0"/>
    <w:uiPriority w:val="99"/>
    <w:unhideWhenUsed/>
    <w:rsid w:val="00267BFA"/>
    <w:pPr>
      <w:tabs>
        <w:tab w:val="center" w:pos="4153"/>
        <w:tab w:val="right" w:pos="8306"/>
      </w:tabs>
      <w:snapToGrid w:val="0"/>
      <w:jc w:val="left"/>
    </w:pPr>
    <w:rPr>
      <w:sz w:val="18"/>
      <w:szCs w:val="18"/>
    </w:rPr>
  </w:style>
  <w:style w:type="character" w:customStyle="1" w:styleId="Char0">
    <w:name w:val="页脚 Char"/>
    <w:basedOn w:val="a0"/>
    <w:link w:val="a4"/>
    <w:uiPriority w:val="99"/>
    <w:rsid w:val="00267B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86787">
      <w:bodyDiv w:val="1"/>
      <w:marLeft w:val="0"/>
      <w:marRight w:val="0"/>
      <w:marTop w:val="0"/>
      <w:marBottom w:val="0"/>
      <w:divBdr>
        <w:top w:val="none" w:sz="0" w:space="0" w:color="auto"/>
        <w:left w:val="none" w:sz="0" w:space="0" w:color="auto"/>
        <w:bottom w:val="none" w:sz="0" w:space="0" w:color="auto"/>
        <w:right w:val="none" w:sz="0" w:space="0" w:color="auto"/>
      </w:divBdr>
    </w:div>
    <w:div w:id="1014498173">
      <w:bodyDiv w:val="1"/>
      <w:marLeft w:val="0"/>
      <w:marRight w:val="0"/>
      <w:marTop w:val="0"/>
      <w:marBottom w:val="0"/>
      <w:divBdr>
        <w:top w:val="none" w:sz="0" w:space="0" w:color="auto"/>
        <w:left w:val="none" w:sz="0" w:space="0" w:color="auto"/>
        <w:bottom w:val="none" w:sz="0" w:space="0" w:color="auto"/>
        <w:right w:val="none" w:sz="0" w:space="0" w:color="auto"/>
      </w:divBdr>
    </w:div>
    <w:div w:id="148369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9CEF6-7ED9-4CC7-B15D-020A0666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学位办质量保障与监督科(xwbzlk)</dc:creator>
  <cp:keywords/>
  <dc:description/>
  <cp:lastModifiedBy>学位办质量监督与管理科(xwbzljdk)</cp:lastModifiedBy>
  <cp:revision>24</cp:revision>
  <cp:lastPrinted>2017-04-01T06:51:00Z</cp:lastPrinted>
  <dcterms:created xsi:type="dcterms:W3CDTF">2016-05-30T09:35:00Z</dcterms:created>
  <dcterms:modified xsi:type="dcterms:W3CDTF">2019-07-03T06:13:00Z</dcterms:modified>
</cp:coreProperties>
</file>